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Restaurace Meran</w:t>
      </w:r>
    </w:p>
    <w:p>
      <w:pPr>
        <w:pStyle w:val="Heading2"/>
      </w:pPr>
      <w:r>
        <w:t>UKONČENÍ PROVOZU</w:t>
      </w:r>
    </w:p>
    <w:p>
      <w:pPr>
        <w:pStyle w:val="Heading3"/>
      </w:pPr>
      <w:r>
        <w:t xml:space="preserve">- 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850"/>
        <w:gridCol w:w="6803"/>
        <w:gridCol w:w="1134"/>
        <w:gridCol w:w="850"/>
      </w:tblGrid>
      <w:tr>
        <w:tc>
          <w:tcPr>
            <w:tcW w:type="dxa" w:w="850"/>
          </w:tcPr>
          <w:p>
            <w:r>
              <w:t>2</w:t>
            </w:r>
          </w:p>
        </w:tc>
        <w:tc>
          <w:tcPr>
            <w:tcW w:type="dxa" w:w="6803"/>
          </w:tcPr>
          <w:p>
            <w:r>
              <w:t>-</w:t>
              <w:br/>
            </w:r>
          </w:p>
        </w:tc>
        <w:tc>
          <w:tcPr>
            <w:tcW w:type="dxa" w:w="1134"/>
          </w:tcPr>
          <w:p>
            <w:pPr>
              <w:jc w:val="right"/>
            </w:pPr>
            <w:r>
              <w:t>0,- Kč</w:t>
            </w:r>
          </w:p>
        </w:tc>
        <w:tc>
          <w:tcPr>
            <w:tcW w:type="dxa" w:w="850"/>
          </w:tcPr>
          <w:p>
            <w:pPr>
              <w:jc w:val="right"/>
            </w:pPr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